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877E" w14:textId="0BF3016B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</w:p>
    <w:p w14:paraId="5763B1EE" w14:textId="77777777" w:rsidR="00C87DD9" w:rsidRPr="00C87DD9" w:rsidRDefault="00C87DD9" w:rsidP="00C87DD9">
      <w:pPr>
        <w:spacing w:before="240" w:after="240" w:line="336" w:lineRule="atLeast"/>
        <w:jc w:val="center"/>
        <w:outlineLvl w:val="0"/>
        <w:rPr>
          <w:rFonts w:ascii="Open Sans" w:eastAsia="Times New Roman" w:hAnsi="Open Sans" w:cs="Open Sans"/>
          <w:b/>
          <w:bCs/>
          <w:color w:val="414145"/>
          <w:kern w:val="36"/>
          <w:sz w:val="48"/>
          <w:szCs w:val="48"/>
          <w:lang w:eastAsia="hr-HR"/>
        </w:rPr>
      </w:pPr>
      <w:r w:rsidRPr="00C87DD9">
        <w:rPr>
          <w:rFonts w:ascii="Open Sans" w:eastAsia="Times New Roman" w:hAnsi="Open Sans" w:cs="Open Sans"/>
          <w:b/>
          <w:bCs/>
          <w:color w:val="414145"/>
          <w:kern w:val="36"/>
          <w:sz w:val="48"/>
          <w:szCs w:val="48"/>
          <w:lang w:eastAsia="hr-HR"/>
        </w:rPr>
        <w:t>PRAVILNIK O KRITERIJIMA ZA IZRICANJE PEDAGOŠKIH MJERA</w:t>
      </w:r>
    </w:p>
    <w:p w14:paraId="26ADEA67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Pročišćeni tekst</w:t>
      </w:r>
    </w:p>
    <w:p w14:paraId="79063D51" w14:textId="080B9953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NN </w:t>
      </w:r>
      <w:bookmarkStart w:id="0" w:name="_Hlk224040154"/>
      <w:r w:rsidR="00874116">
        <w:fldChar w:fldCharType="begin"/>
      </w:r>
      <w:r w:rsidR="00874116">
        <w:instrText xml:space="preserve"> HYPERLINK "https://www.zakon.hr/cms.htm?id=13405" </w:instrText>
      </w:r>
      <w:r w:rsidR="00874116">
        <w:fldChar w:fldCharType="separate"/>
      </w:r>
      <w:r w:rsidRPr="00C87DD9">
        <w:rPr>
          <w:rFonts w:ascii="Open Sans" w:eastAsia="Times New Roman" w:hAnsi="Open Sans" w:cs="Open Sans"/>
          <w:b/>
          <w:bCs/>
          <w:color w:val="497FD7"/>
          <w:sz w:val="21"/>
          <w:szCs w:val="21"/>
          <w:lang w:eastAsia="hr-HR"/>
        </w:rPr>
        <w:t>94/15</w:t>
      </w:r>
      <w:r w:rsidR="00874116">
        <w:rPr>
          <w:rFonts w:ascii="Open Sans" w:eastAsia="Times New Roman" w:hAnsi="Open Sans" w:cs="Open Sans"/>
          <w:b/>
          <w:bCs/>
          <w:color w:val="497FD7"/>
          <w:sz w:val="21"/>
          <w:szCs w:val="21"/>
          <w:lang w:eastAsia="hr-HR"/>
        </w:rPr>
        <w:fldChar w:fldCharType="end"/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, </w:t>
      </w:r>
      <w:hyperlink r:id="rId5" w:history="1">
        <w:r w:rsidRPr="00C87DD9">
          <w:rPr>
            <w:rFonts w:ascii="Open Sans" w:eastAsia="Times New Roman" w:hAnsi="Open Sans" w:cs="Open Sans"/>
            <w:b/>
            <w:bCs/>
            <w:color w:val="497FD7"/>
            <w:sz w:val="21"/>
            <w:szCs w:val="21"/>
            <w:lang w:eastAsia="hr-HR"/>
          </w:rPr>
          <w:t>03/17</w:t>
        </w:r>
      </w:hyperlink>
      <w:bookmarkEnd w:id="0"/>
      <w:r w:rsidR="00927807">
        <w:rPr>
          <w:rFonts w:ascii="Open Sans" w:eastAsia="Times New Roman" w:hAnsi="Open Sans" w:cs="Open Sans"/>
          <w:b/>
          <w:bCs/>
          <w:color w:val="497FD7"/>
          <w:sz w:val="21"/>
          <w:szCs w:val="21"/>
          <w:lang w:eastAsia="hr-HR"/>
        </w:rPr>
        <w:t>,</w:t>
      </w:r>
      <w:r w:rsidR="00927807" w:rsidRPr="00927807">
        <w:rPr>
          <w:rFonts w:ascii="Open Sans" w:eastAsia="Times New Roman" w:hAnsi="Open Sans" w:cs="Open Sans"/>
          <w:color w:val="FF0000"/>
          <w:sz w:val="21"/>
          <w:szCs w:val="21"/>
          <w:lang w:eastAsia="hr-HR"/>
        </w:rPr>
        <w:t xml:space="preserve"> </w:t>
      </w:r>
      <w:r w:rsidR="00927807" w:rsidRPr="00C87DD9">
        <w:rPr>
          <w:rFonts w:ascii="Open Sans" w:eastAsia="Times New Roman" w:hAnsi="Open Sans" w:cs="Open Sans"/>
          <w:color w:val="FF0000"/>
          <w:sz w:val="21"/>
          <w:szCs w:val="21"/>
          <w:lang w:eastAsia="hr-HR"/>
        </w:rPr>
        <w:t>(NN 22/26)</w:t>
      </w:r>
    </w:p>
    <w:p w14:paraId="7F6B4CB3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1.</w:t>
      </w:r>
    </w:p>
    <w:p w14:paraId="526A6E08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(1) Ovim pravilnikom propisuju se kriteriji za izricanje pedagoških mjera učenicima osnovnih i srednjih škola.</w:t>
      </w:r>
    </w:p>
    <w:p w14:paraId="580BFE40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14:paraId="5F25B2D1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(3) Izricanje pedagoških mjera temelji se na principima postupnosti, proporcionalnosti, pravednosti i pravodobnosti.</w:t>
      </w:r>
    </w:p>
    <w:p w14:paraId="4449E666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(4) Pedagoške mjere izriču se zbog povrede dužnosti, neispunjavanja obveza, nasilničkog ponašanja i drugih neprimjerenih ponašanja (u daljnjem tekstu: neprihvatljiva ponašanja).</w:t>
      </w:r>
    </w:p>
    <w:p w14:paraId="6218B52A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(5) Pedagoške mjere za koje se utvrđuju kriteriji u:</w:t>
      </w:r>
    </w:p>
    <w:p w14:paraId="68EAEB7D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osnovnoj školi su: opomena, ukor, strogi ukor i preseljenje u drugu školu,</w:t>
      </w:r>
    </w:p>
    <w:p w14:paraId="17591572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srednjoj školi su: opomena, ukor, opomena pred isključenje i isključenje iz srednje škole.</w:t>
      </w:r>
    </w:p>
    <w:p w14:paraId="4F9873A1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(6) Pedagoške mjere izriču se prema težini neprihvatljivog ponašanja.</w:t>
      </w:r>
    </w:p>
    <w:p w14:paraId="2698D0B1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(7) Izrazi koji se koriste u ovome pravilniku, a koji imaju rodno značenje, bez obzira na to jesu li korišteni u muškome ili ženskome rodu obuhvaćaju na jednak način i muški i ženski rod.</w:t>
      </w:r>
    </w:p>
    <w:p w14:paraId="59451297" w14:textId="77777777" w:rsid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</w:p>
    <w:p w14:paraId="4F8ACAAD" w14:textId="59E24A31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2.</w:t>
      </w:r>
    </w:p>
    <w:p w14:paraId="1A8E276A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14:paraId="5A8ADBCE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14:paraId="5DECA0D1" w14:textId="77777777" w:rsid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</w:p>
    <w:p w14:paraId="1C1F66EC" w14:textId="4005ADFD" w:rsidR="00C87DD9" w:rsidRPr="00927807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sz w:val="21"/>
          <w:szCs w:val="21"/>
          <w:lang w:eastAsia="hr-HR"/>
        </w:rPr>
      </w:pPr>
      <w:r w:rsidRPr="00927807">
        <w:rPr>
          <w:rFonts w:ascii="Open Sans" w:eastAsia="Times New Roman" w:hAnsi="Open Sans" w:cs="Open Sans"/>
          <w:sz w:val="21"/>
          <w:szCs w:val="21"/>
          <w:lang w:eastAsia="hr-HR"/>
        </w:rPr>
        <w:t>Članak 3.</w:t>
      </w:r>
      <w:r w:rsidR="00927807" w:rsidRPr="00927807">
        <w:rPr>
          <w:rFonts w:ascii="Open Sans" w:eastAsia="Times New Roman" w:hAnsi="Open Sans" w:cs="Open Sans"/>
          <w:sz w:val="21"/>
          <w:szCs w:val="21"/>
          <w:lang w:eastAsia="hr-HR"/>
        </w:rPr>
        <w:t xml:space="preserve"> </w:t>
      </w:r>
    </w:p>
    <w:p w14:paraId="7BBC3396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(1) Neprihvatljiva ponašanja na temelju kojih se izriču pedagoške mjere iz članka 1. stavka 5. ovoga pravilnika podijeljena su ovisno o težini na: lakša, teža, teška i osobito teška.</w:t>
      </w:r>
    </w:p>
    <w:p w14:paraId="7E14091C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(2) Lakšim neprihvatljivim ponašanjima iz stavka 1. ovoga članka smatra se:</w:t>
      </w:r>
    </w:p>
    <w:p w14:paraId="61AE6EAE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a) ometanje odgojno-obrazovnoga rada (npr. izazivanje nereda, stvaranje buke, pričanje nakon usmene opomene učitelja/nastavnika ili dovikivanje tijekom odgojno-obrazovnoga rada);</w:t>
      </w:r>
    </w:p>
    <w:p w14:paraId="7BD8FE9F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onečišćenje školskoga prostora i okoliša (npr. bacanje smeća izvan koševa za otpatke);</w:t>
      </w:r>
    </w:p>
    <w:p w14:paraId="4EAD0BCD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c) oštećivanje imovine u prostorima škole ili na drugome mjestu gdje se održava odgojno-obrazovni rad nanošenjem manje štete (npr. šaranje, urezivanje u namještaj);</w:t>
      </w:r>
    </w:p>
    <w:p w14:paraId="5FAAA2FE" w14:textId="4790AA5F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 xml:space="preserve">d) korištenje informacijsko-komunikacijskih uređaja u svim prostorima </w:t>
      </w: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u w:val="single"/>
          <w:lang w:eastAsia="hr-HR"/>
        </w:rPr>
        <w:t>osnovne škole</w:t>
      </w: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 xml:space="preserve"> osim u edukativne zdravstvene i druge svrhe uz odobrenje škole</w:t>
      </w:r>
    </w:p>
    <w:p w14:paraId="03A252E3" w14:textId="4620718D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e)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poticanje drugih učenika na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</w:t>
      </w: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 xml:space="preserve">lakša 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neprihvatljiva ponašanja;</w:t>
      </w:r>
    </w:p>
    <w:p w14:paraId="05528205" w14:textId="448DA58A" w:rsidR="00C87DD9" w:rsidRPr="00C87DD9" w:rsidRDefault="009343FC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f</w:t>
      </w:r>
      <w:r w:rsidR="00C87DD9"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)</w:t>
      </w:r>
      <w:r w:rsidR="00C87DD9"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uznemiravanje učenika ili radnika škole odnosno druge aktivnosti koje izazivaju nelagodu u drugih osoba, nakon što je učenik na to upozoren;</w:t>
      </w:r>
    </w:p>
    <w:p w14:paraId="4952AC18" w14:textId="21868BE4" w:rsidR="00C87DD9" w:rsidRDefault="009343FC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g</w:t>
      </w:r>
      <w:r w:rsidR="00C87DD9"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)</w:t>
      </w:r>
      <w:r w:rsidR="00C87DD9"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korištenje nedopuštenih izvora podataka u svrhu prepisivanja.</w:t>
      </w:r>
    </w:p>
    <w:p w14:paraId="41B17129" w14:textId="77777777" w:rsidR="00E310CE" w:rsidRPr="00C87DD9" w:rsidRDefault="00E310CE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</w:p>
    <w:p w14:paraId="03A0E9FE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(3) Težim neprihvatljivim ponašanjima iz stavka 1. ovoga članka smatra se:</w:t>
      </w:r>
    </w:p>
    <w:p w14:paraId="4F3D5D82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ometanje odgojno-obrazovnoga rada na način da je onemogućeno njegovo daljnje izvođenje;</w:t>
      </w:r>
    </w:p>
    <w:p w14:paraId="003932D3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povreda dostojanstva druge osobe omalovažavanjem, vrijeđanjem ili širenjem neistina i glasina o drugome učeniku ili radniku škole;</w:t>
      </w:r>
    </w:p>
    <w:p w14:paraId="2D5F8007" w14:textId="5C3A895A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c)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</w:t>
      </w:r>
      <w:r w:rsidR="009343FC" w:rsidRPr="009343FC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nedopušteno korištenje informacijsko-komunikacijskih uređaja tijekom odgojno-obrazovnog rada</w:t>
      </w:r>
    </w:p>
    <w:p w14:paraId="43BF48F0" w14:textId="0DBE85AD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d)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</w:t>
      </w:r>
      <w:r w:rsidR="009343FC" w:rsidRPr="009343FC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poticanje drugih učenika na teža neprihvatljiva ponašanja</w:t>
      </w:r>
    </w:p>
    <w:p w14:paraId="5ADFA1F5" w14:textId="17AF4042" w:rsidR="00C87DD9" w:rsidRPr="00C87DD9" w:rsidRDefault="00E310CE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e</w:t>
      </w:r>
      <w:r w:rsidR="00C87DD9"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)</w:t>
      </w:r>
      <w:r w:rsidR="00C87DD9"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prikrivanje nasilnih oblika ponašanja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</w:t>
      </w:r>
      <w:r w:rsidRPr="00E310CE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drugih učenika</w:t>
      </w:r>
      <w:r w:rsidR="00C87DD9"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;</w:t>
      </w:r>
    </w:p>
    <w:p w14:paraId="6B59D99F" w14:textId="09D534F3" w:rsidR="00C87DD9" w:rsidRPr="00C87DD9" w:rsidRDefault="00E310CE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E310CE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f</w:t>
      </w:r>
      <w:r w:rsidR="00C87DD9"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)</w:t>
      </w:r>
      <w:r w:rsidR="00C87DD9"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korištenje ili zlouporaba podataka drugog učenika iz pedagoške dokumentacije;</w:t>
      </w:r>
    </w:p>
    <w:p w14:paraId="70FE8658" w14:textId="00FDBE9F" w:rsidR="00C87DD9" w:rsidRPr="00C87DD9" w:rsidRDefault="00E310CE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g</w:t>
      </w:r>
      <w:r w:rsidR="00C87DD9"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)</w:t>
      </w:r>
      <w:r w:rsidR="00C87DD9"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klađenje ili kockanje u prostorima škole ili na drugome mjestu gdje se održava odgojno-obrazovni rad;</w:t>
      </w:r>
    </w:p>
    <w:p w14:paraId="6F74D939" w14:textId="480BF202" w:rsidR="00C87DD9" w:rsidRDefault="00E310CE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E310CE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h</w:t>
      </w:r>
      <w:r w:rsidR="00C87DD9"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)</w:t>
      </w:r>
      <w:r w:rsidR="00C87DD9"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prisvajanje tuđe stvari.</w:t>
      </w:r>
    </w:p>
    <w:p w14:paraId="0D501A3C" w14:textId="77777777" w:rsidR="00E310CE" w:rsidRPr="00C87DD9" w:rsidRDefault="00E310CE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</w:p>
    <w:p w14:paraId="70BE5844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(4) Teškim neprihvatljivim ponašanjima iz stavka 1. ovoga članka smatra se:</w:t>
      </w:r>
    </w:p>
    <w:p w14:paraId="514D0C95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14:paraId="13E88EEB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nasilno ponašanje koje nije rezultiralo težim posljedicama;</w:t>
      </w:r>
    </w:p>
    <w:p w14:paraId="5BBF783B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c) krivotvorenje ispričnica ili ispitnih materijala;</w:t>
      </w:r>
    </w:p>
    <w:p w14:paraId="5B744560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d) neovlašteno korištenje tuđih podataka za pristup elektroničkim bazama podataka škole bez njihove izmjene;</w:t>
      </w:r>
    </w:p>
    <w:p w14:paraId="16965AD4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e) krađa tuđe stvari;</w:t>
      </w:r>
    </w:p>
    <w:p w14:paraId="21274086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f) poticanje grupnoga govora mržnje;</w:t>
      </w:r>
    </w:p>
    <w:p w14:paraId="79E30F6C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g) uništavanje službene dokumentacije škole;</w:t>
      </w:r>
    </w:p>
    <w:p w14:paraId="16D38BA9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h) prisila drugog učenika na neprihvatljivo ponašanje ili iznuda drugog učenika (npr. iznuđivanje novca);</w:t>
      </w:r>
    </w:p>
    <w:p w14:paraId="09D779E8" w14:textId="1EB187D6" w:rsidR="00B36793" w:rsidRDefault="00B36793" w:rsidP="00B36793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i</w:t>
      </w:r>
      <w:r w:rsidRPr="00E310CE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)</w:t>
      </w: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 xml:space="preserve"> unošenje i konzumiranje proaktivnih sredstava, alkohola i droge te drugih tvari koje su zakonima zabranjeni u prostor škole ili na drugo mjesto gdje se održava odgojno-obrazovni rad.</w:t>
      </w:r>
    </w:p>
    <w:p w14:paraId="7C825BC1" w14:textId="4ED0D02F" w:rsidR="00B36793" w:rsidRDefault="00B36793" w:rsidP="00B36793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j) dovođenje ili pomaganje prilikom dolaska neovlaštenim osobama koje su nanijele štetu osobama ili imovini u prostoru škole ili drugome mjestu gdje se održava odgojno-obrazovni rad.</w:t>
      </w:r>
    </w:p>
    <w:p w14:paraId="3BCF7B6F" w14:textId="2569A1DB" w:rsidR="00B36793" w:rsidRDefault="00B36793" w:rsidP="00B36793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k) namjerno uništavanje imovine nanošenjem veće štete u prostoru škole ili na drugom mjestu gdje se održava odgojno-obrazovni rad.</w:t>
      </w:r>
    </w:p>
    <w:p w14:paraId="4E51C5DB" w14:textId="2D3BE601" w:rsidR="00C76E2C" w:rsidRDefault="00B36793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l) udaranje, sudjelovanje u tučnjavi i druga ponašanja koja mogu ugroziti sigurnost samog učenika ili druge osobe</w:t>
      </w:r>
      <w:r w:rsidR="00405015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, ali bez težih posljedica.</w:t>
      </w: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 xml:space="preserve"> </w:t>
      </w:r>
    </w:p>
    <w:p w14:paraId="6DF38AE7" w14:textId="77777777" w:rsidR="00874116" w:rsidRPr="00C76E2C" w:rsidRDefault="00874116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</w:p>
    <w:p w14:paraId="6EE0E7EB" w14:textId="60997843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(5) Osobito teškim neprihvatljivim ponašanjima iz stavka 1. ovoga članka smatra se:</w:t>
      </w:r>
    </w:p>
    <w:p w14:paraId="452E140A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krivotvorenje pisane ili elektroničke službene dokumentacije škole;</w:t>
      </w:r>
    </w:p>
    <w:p w14:paraId="13C38C3E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objavljivanje materijala elektroničkim ili drugim putem, a koji za posljedicu imaju povredu ugleda, časti i dostojanstva druge osobe;</w:t>
      </w:r>
    </w:p>
    <w:p w14:paraId="4FE7DA60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c) teška krađa odnosno krađa počinjena na opasan ili drzak način, obijanjem, provaljivanjem ili svladavanjem prepreka da se dođe do stvari;</w:t>
      </w:r>
    </w:p>
    <w:p w14:paraId="0CB16307" w14:textId="62EB3832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 xml:space="preserve">d) </w:t>
      </w:r>
      <w:r w:rsidR="00C76E2C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unošenje ili korištenje oružja ili opasnih predmeta u prostor škole ili na drugo mjesto gdje se održava odgojno-obrazovni rad</w:t>
      </w:r>
    </w:p>
    <w:p w14:paraId="0C30C855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e) nasilno ponašanje koje je rezultiralo teškim emocionalnim ili fizičkim posljedicama za drugu osobu.</w:t>
      </w:r>
    </w:p>
    <w:p w14:paraId="46820E9D" w14:textId="01B15ABF" w:rsidR="00C87DD9" w:rsidRPr="00927807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sz w:val="21"/>
          <w:szCs w:val="21"/>
          <w:lang w:eastAsia="hr-HR"/>
        </w:rPr>
      </w:pPr>
      <w:r w:rsidRPr="00927807">
        <w:rPr>
          <w:rFonts w:ascii="Open Sans" w:eastAsia="Times New Roman" w:hAnsi="Open Sans" w:cs="Open Sans"/>
          <w:sz w:val="21"/>
          <w:szCs w:val="21"/>
          <w:lang w:eastAsia="hr-HR"/>
        </w:rPr>
        <w:t xml:space="preserve">Članak 4. </w:t>
      </w:r>
    </w:p>
    <w:p w14:paraId="668D13D1" w14:textId="3DEA0C91" w:rsidR="00C67EC0" w:rsidRPr="002D5C00" w:rsidRDefault="00C87DD9" w:rsidP="002D5C00">
      <w:pPr>
        <w:pStyle w:val="Odlomakpopisa"/>
        <w:numPr>
          <w:ilvl w:val="0"/>
          <w:numId w:val="1"/>
        </w:numPr>
        <w:spacing w:after="135" w:line="240" w:lineRule="auto"/>
        <w:ind w:left="284" w:hanging="284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67EC0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Pedagoška mjera izriče se i zbog neopravdanih izostanaka s nastave.</w:t>
      </w:r>
    </w:p>
    <w:p w14:paraId="3118158A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(2) Izostanak s nastave, u slučaju pravodobnog zahtjeva roditelja, može odobriti:</w:t>
      </w:r>
    </w:p>
    <w:p w14:paraId="03FF1306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– učitelj/nastavnik za izostanak tijekom nastavnoga dana,</w:t>
      </w:r>
    </w:p>
    <w:p w14:paraId="6B897005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– razrednik za izostanak do tri (pojedinačna ili uzastopna) radna dana,</w:t>
      </w:r>
    </w:p>
    <w:p w14:paraId="129B5B6B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– ravnatelj za izostanak do sedam (uzastopnih) radnih dana,</w:t>
      </w:r>
    </w:p>
    <w:p w14:paraId="6D0EC50D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– učiteljsko/nastavničko vijeće za izostanak do petnaest (uzastopnih) radnih dana.</w:t>
      </w:r>
    </w:p>
    <w:p w14:paraId="6AAA71DD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(3) Roditelj može, više puta godišnje, opravdati izostanak svoga djeteta u trajanju do tri radna dana, a za koje nije pravodobno podnesen zahtjev za odobrenjem sukladno stavku 2. ovoga članka.</w:t>
      </w:r>
    </w:p>
    <w:p w14:paraId="27DF2C17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(4) Opravdanost izostanka s nastave zbog zdravstvenih razloga u trajanju duljem od tri radna dana uzastopno dokazuje se liječničkom potvrdom.</w:t>
      </w:r>
    </w:p>
    <w:p w14:paraId="37AB2B0C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(5) Izostanak učenika s nastave može se opravdati i odgovarajućom potvrdom nadležne institucije, ustanove ili druge nadležne fizičke ili pravne osobe (Ministarstvo unutarnjih 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14:paraId="3C9F4A25" w14:textId="596EA955" w:rsid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(6) Neopravdanim izostankom smatra se izostanak koji nije odobren ili opravdan sukladno odredbama stavka 2., 3., 4. i 5. ovoga članka.</w:t>
      </w:r>
    </w:p>
    <w:p w14:paraId="0562FDD2" w14:textId="62C49A2F" w:rsidR="002D5C00" w:rsidRDefault="002D5C00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 w:rsidRPr="002D5C00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(7)</w:t>
      </w: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 xml:space="preserve"> Izostanak učenika s nastave u osnovnoj školi zbog izražavanja nezadovoljstva i protesta učenika ili roditelja smatra se izostankom iz stavka 6. ovoga članka i ne može se opravdati.</w:t>
      </w:r>
    </w:p>
    <w:p w14:paraId="2B5BF0C4" w14:textId="4807EB18" w:rsidR="0030359F" w:rsidRPr="002D5C00" w:rsidRDefault="0030359F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(8) Ako osnovna škola ima informaciju da roditelji iz različitih razloga ne dopuštaju djetetu odlazak u školu, dužni su o tom obavijestiti nadležni područni ured Hrvatskog zavoda za socijalni rad.</w:t>
      </w:r>
    </w:p>
    <w:p w14:paraId="45EC3EAA" w14:textId="58EE2BFA" w:rsidR="00C87DD9" w:rsidRPr="00C87DD9" w:rsidRDefault="000E5C78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0E5C78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(9)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</w:t>
      </w:r>
      <w:r w:rsidR="00C87DD9"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Načini opravdavanja izostanaka učenika i primjereni rok javljanja o razlogu izostanka uređuju se statutom škole.</w:t>
      </w:r>
    </w:p>
    <w:p w14:paraId="132CD5B4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5.</w:t>
      </w:r>
    </w:p>
    <w:p w14:paraId="3A0F1AFB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14:paraId="708AD8B0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14:paraId="19A7B90C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(3) Mjera se može izreći i bez izjašnjavanja učenika ako se učenik bez opravdanoga razloga ne odazove pozivu razrednika ili druge ovlaštene osobe.</w:t>
      </w:r>
    </w:p>
    <w:p w14:paraId="5272C46B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(4) Mjera se može izreći i bez informiranja roditelja, što je propisano stavkom 2. ovoga članka, ako se roditelj ne odazove ni pisanom pozivu na razgovor.</w:t>
      </w:r>
    </w:p>
    <w:p w14:paraId="17E62C84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(5) Pedagoška mjera opomene i ukora mora se izreći najkasnije u roku od 15 dana od dana saznanja za neprihvatljivo ponašanje učenika zbog kojeg se izriče.</w:t>
      </w:r>
    </w:p>
    <w:p w14:paraId="74469027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14:paraId="52151DF4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14:paraId="0F2B082A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14:paraId="00E4E3AA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6.</w:t>
      </w:r>
    </w:p>
    <w:p w14:paraId="67FEB145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14:paraId="30E38CF8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14:paraId="24A3D06D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14:paraId="3B7FA044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7.</w:t>
      </w:r>
    </w:p>
    <w:p w14:paraId="2A343329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14:paraId="2F9B794C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14:paraId="7A89246F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14:paraId="7A47AFA1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14:paraId="2B29B6B0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8.</w:t>
      </w:r>
    </w:p>
    <w:p w14:paraId="7A5259DF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14:paraId="444EBB58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14:paraId="1B75F836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14:paraId="17BFEFE9" w14:textId="1E5C0C2C" w:rsid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14:paraId="4C4BC6DB" w14:textId="7CEE5999" w:rsidR="000E0792" w:rsidRPr="000E0792" w:rsidRDefault="000E0792" w:rsidP="00C87DD9">
      <w:pPr>
        <w:spacing w:after="135" w:line="240" w:lineRule="auto"/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</w:pPr>
      <w:r w:rsidRPr="000E0792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(5) O izricanju pedagoške mjere iz čl. 7. stavka 3. i 4. ovoga Pravilnika učenika osnovne i srednje škole, škola je dužna poslati obavijest nadležnom područnom uredu Hrvatskog zavoda za socijalni rad te zatražiti izviještaj o poduzetim radnjama kako bi ista mogla prilagoditi stručni rad s učenikom.</w:t>
      </w:r>
    </w:p>
    <w:p w14:paraId="39636B47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9.</w:t>
      </w:r>
    </w:p>
    <w:p w14:paraId="36174E06" w14:textId="7B6B0064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Škole su dužne uskladiti odredbe statuta s odredbama ovoga pravilnika u roku od </w:t>
      </w:r>
      <w:r w:rsidR="000E0792" w:rsidRPr="000E0792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9</w:t>
      </w:r>
      <w:r w:rsidRPr="000E0792">
        <w:rPr>
          <w:rFonts w:ascii="Open Sans" w:eastAsia="Times New Roman" w:hAnsi="Open Sans" w:cs="Open Sans"/>
          <w:b/>
          <w:bCs/>
          <w:color w:val="414145"/>
          <w:sz w:val="21"/>
          <w:szCs w:val="21"/>
          <w:lang w:eastAsia="hr-HR"/>
        </w:rPr>
        <w:t>0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dana od dana njegova stupanja na snagu.</w:t>
      </w:r>
    </w:p>
    <w:p w14:paraId="3718FDBE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10.</w:t>
      </w:r>
    </w:p>
    <w:p w14:paraId="54CB3964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Ovaj pravilnik stupa na snagu osmoga dana od dana objave u »Narodnim novinama«.</w:t>
      </w:r>
    </w:p>
    <w:p w14:paraId="1365833A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Klasa: 602-02/15-06/00087</w:t>
      </w:r>
    </w:p>
    <w:p w14:paraId="38681001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proofErr w:type="spellStart"/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Urbroj</w:t>
      </w:r>
      <w:proofErr w:type="spellEnd"/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: 533-25-15-0008</w:t>
      </w:r>
    </w:p>
    <w:p w14:paraId="0B3AB83B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Zagreb, 31. kolovoza 2015.</w:t>
      </w:r>
    </w:p>
    <w:p w14:paraId="66BA55F2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bookmarkStart w:id="1" w:name="_Hlk224039996"/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Prijelazne i završne odredbe iz NN 03/17</w:t>
      </w:r>
    </w:p>
    <w:bookmarkEnd w:id="1"/>
    <w:p w14:paraId="15800CB1" w14:textId="77777777" w:rsidR="00C87DD9" w:rsidRPr="00C87DD9" w:rsidRDefault="00C87DD9" w:rsidP="00C87DD9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Članak 2.</w:t>
      </w:r>
    </w:p>
    <w:p w14:paraId="6C73ABBA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Ovaj pravilnik stupa na snagu osmoga dana od dana objave u »Narodnim novinama«.</w:t>
      </w:r>
    </w:p>
    <w:p w14:paraId="2C8FFF13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Klasa: 602-01/16-01/00635</w:t>
      </w:r>
    </w:p>
    <w:p w14:paraId="2B394329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proofErr w:type="spellStart"/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Urbroj</w:t>
      </w:r>
      <w:proofErr w:type="spellEnd"/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: 533-28-16-0001</w:t>
      </w:r>
    </w:p>
    <w:p w14:paraId="4ED24BC4" w14:textId="77777777" w:rsidR="00C87DD9" w:rsidRPr="00C87DD9" w:rsidRDefault="00C87DD9" w:rsidP="00C87DD9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Zagreb, 28. prosinca 2016.</w:t>
      </w:r>
    </w:p>
    <w:p w14:paraId="6EE20C4E" w14:textId="6AEBF128" w:rsidR="000E0792" w:rsidRPr="00C87DD9" w:rsidRDefault="000E0792" w:rsidP="000E0792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Prijelazne i završne odredbe iz NN 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22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/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26</w:t>
      </w:r>
    </w:p>
    <w:p w14:paraId="3E4BF276" w14:textId="06D53FD5" w:rsidR="00C87DD9" w:rsidRDefault="000E0792" w:rsidP="000E0792">
      <w:pPr>
        <w:jc w:val="center"/>
      </w:pPr>
      <w:r>
        <w:t>Članak 5.</w:t>
      </w:r>
    </w:p>
    <w:p w14:paraId="18E5C717" w14:textId="77777777" w:rsidR="000E0792" w:rsidRPr="00C87DD9" w:rsidRDefault="000E0792" w:rsidP="000E079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Ovaj pravilnik stupa na snagu osmoga dana od dana objave u »Narodnim novinama«.</w:t>
      </w:r>
    </w:p>
    <w:p w14:paraId="4213885C" w14:textId="0ECD453F" w:rsidR="000E0792" w:rsidRPr="00C87DD9" w:rsidRDefault="000E0792" w:rsidP="000E079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Klasa: 602-01/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26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-01/00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083</w:t>
      </w:r>
    </w:p>
    <w:p w14:paraId="02630472" w14:textId="1EFFCE51" w:rsidR="000E0792" w:rsidRPr="00C87DD9" w:rsidRDefault="000E0792" w:rsidP="000E079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proofErr w:type="spellStart"/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Urbroj</w:t>
      </w:r>
      <w:proofErr w:type="spellEnd"/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: 533-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06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-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26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-0001</w:t>
      </w:r>
    </w:p>
    <w:p w14:paraId="2BAE46C8" w14:textId="6F6F8351" w:rsidR="000E0792" w:rsidRPr="00C87DD9" w:rsidRDefault="000E0792" w:rsidP="000E0792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Zagreb, 2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6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. 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vel</w:t>
      </w:r>
      <w:r w:rsidR="009B6A90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j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ače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 xml:space="preserve"> 20</w:t>
      </w:r>
      <w:r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26</w:t>
      </w:r>
      <w:r w:rsidRPr="00C87DD9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.</w:t>
      </w:r>
    </w:p>
    <w:p w14:paraId="3DFE732B" w14:textId="77777777" w:rsidR="000E0792" w:rsidRDefault="000E0792" w:rsidP="000E0792"/>
    <w:p w14:paraId="2F95D3BC" w14:textId="77777777" w:rsidR="000E0792" w:rsidRDefault="000E0792"/>
    <w:sectPr w:rsidR="000E0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5DB"/>
    <w:multiLevelType w:val="hybridMultilevel"/>
    <w:tmpl w:val="2E82A210"/>
    <w:lvl w:ilvl="0" w:tplc="2EE8CA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D9"/>
    <w:rsid w:val="000E0792"/>
    <w:rsid w:val="000E5C78"/>
    <w:rsid w:val="00213DD7"/>
    <w:rsid w:val="002D5C00"/>
    <w:rsid w:val="0030359F"/>
    <w:rsid w:val="003F60D5"/>
    <w:rsid w:val="00405015"/>
    <w:rsid w:val="00874116"/>
    <w:rsid w:val="00927807"/>
    <w:rsid w:val="009343FC"/>
    <w:rsid w:val="009B6A90"/>
    <w:rsid w:val="00B36793"/>
    <w:rsid w:val="00C67EC0"/>
    <w:rsid w:val="00C76E2C"/>
    <w:rsid w:val="00C87DD9"/>
    <w:rsid w:val="00E3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6C0A"/>
  <w15:chartTrackingRefBased/>
  <w15:docId w15:val="{60550B49-126B-4220-9864-8D6B032D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kon.hr/cms.htm?id=1817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F84CD5BE6A04CA9A3FE375DD9C1F9" ma:contentTypeVersion="16" ma:contentTypeDescription="Stvaranje novog dokumenta." ma:contentTypeScope="" ma:versionID="ba998c801c6547def56db4d686f5ed48">
  <xsd:schema xmlns:xsd="http://www.w3.org/2001/XMLSchema" xmlns:xs="http://www.w3.org/2001/XMLSchema" xmlns:p="http://schemas.microsoft.com/office/2006/metadata/properties" xmlns:ns2="aad52cda-faa4-45e9-b1b0-f2210e2d9331" xmlns:ns3="d2f428e0-fe55-43c9-b9ce-3d7f1371d20a" targetNamespace="http://schemas.microsoft.com/office/2006/metadata/properties" ma:root="true" ma:fieldsID="d8d0e6af0c10d58dc6c0821a8960a195" ns2:_="" ns3:_="">
    <xsd:import namespace="aad52cda-faa4-45e9-b1b0-f2210e2d9331"/>
    <xsd:import namespace="d2f428e0-fe55-43c9-b9ce-3d7f1371d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52cda-faa4-45e9-b1b0-f2210e2d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28e0-fe55-43c9-b9ce-3d7f1371d2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a82b84-988f-4321-8b30-066db717d6c5}" ma:internalName="TaxCatchAll" ma:showField="CatchAllData" ma:web="d2f428e0-fe55-43c9-b9ce-3d7f1371d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428e0-fe55-43c9-b9ce-3d7f1371d20a" xsi:nil="true"/>
    <lcf76f155ced4ddcb4097134ff3c332f xmlns="aad52cda-faa4-45e9-b1b0-f2210e2d9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1C2382-344B-4032-87E6-476DFC1DFABB}"/>
</file>

<file path=customXml/itemProps2.xml><?xml version="1.0" encoding="utf-8"?>
<ds:datastoreItem xmlns:ds="http://schemas.openxmlformats.org/officeDocument/2006/customXml" ds:itemID="{E31F7986-C18C-490A-B9E1-19078151155A}"/>
</file>

<file path=customXml/itemProps3.xml><?xml version="1.0" encoding="utf-8"?>
<ds:datastoreItem xmlns:ds="http://schemas.openxmlformats.org/officeDocument/2006/customXml" ds:itemID="{0CE8E62F-8F33-4F86-9BD1-A4C550CB3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BATALO</dc:creator>
  <cp:keywords/>
  <dc:description/>
  <cp:lastModifiedBy>VESNA BATALO</cp:lastModifiedBy>
  <cp:revision>13</cp:revision>
  <dcterms:created xsi:type="dcterms:W3CDTF">2026-03-10T10:01:00Z</dcterms:created>
  <dcterms:modified xsi:type="dcterms:W3CDTF">2026-03-10T12:24:00Z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0x010100629F84CD5BE6A04CA9A3FE375DD9C1F9</vt:lpwstr>
  </property>
</Properties>
</file>